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/>
      </w:pPr>
    </w:p>
    <w:p>
      <w:pPr>
        <w:pStyle w:val="Title"/>
      </w:pPr>
      <w:r>
        <w:t>Guía de facilitación</w:t>
      </w:r>
    </w:p>
    <w:p>
      <w:pPr>
        <w:spacing w:after="280"/>
      </w:pPr>
      <w:r>
        <w:rPr>
          <w:rFonts w:ascii="Aptos" w:hAnsi="Aptos"/>
          <w:b w:val="0"/>
          <w:color w:val="6D28D9"/>
          <w:sz w:val="24"/>
        </w:rPr>
        <w:t>Taller Una escuela para todas las personas</w:t>
      </w:r>
    </w:p>
    <w:p>
      <w:r>
        <w:rPr>
          <w:rFonts w:ascii="Aptos" w:hAnsi="Aptos"/>
          <w:b w:val="0"/>
          <w:color w:val="000000"/>
          <w:sz w:val="22"/>
        </w:rPr>
        <w:t>Esta guía permite facilitar una conversación con docentes y equipos educativos para reconocer una barrera cotidiana, diseñar una alternativa y acordar cómo observar el cambio.</w:t>
      </w:r>
    </w:p>
    <w:p>
      <w:pPr>
        <w:pStyle w:val="Heading1"/>
      </w:pPr>
      <w:r>
        <w:t>Propósito del taller</w:t>
      </w:r>
    </w:p>
    <w:p>
      <w:r>
        <w:rPr>
          <w:rFonts w:ascii="Aptos" w:hAnsi="Aptos"/>
          <w:b w:val="0"/>
          <w:color w:val="000000"/>
          <w:sz w:val="22"/>
        </w:rPr>
        <w:t>Revisar una práctica escolar desde la participación y convertir el análisis en una decisión concreta que el equipo pueda poner a prueba.</w:t>
      </w:r>
    </w:p>
    <w:p>
      <w:pPr>
        <w:pStyle w:val="Heading1"/>
      </w:pPr>
      <w:r>
        <w:t>Resultado esperado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Una barrera descrita con evidencia, sin reducir la situación a una característica del estudiante.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Una alternativa que mantiene el propósito pedagógico y amplía las formas de participar.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Un acuerdo con responsable, fecha y evidencia para revisar.</w:t>
      </w:r>
    </w:p>
    <w:p>
      <w:pPr>
        <w:pStyle w:val="Heading1"/>
      </w:pPr>
      <w:r>
        <w:t>Materiales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Presentación editable del taller.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Caso y tarjetas del material Manos a la obra.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Mapa de transformación para cada grupo.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Marcadores, notas adhesivas y cinta.</w:t>
      </w:r>
    </w:p>
    <w:p>
      <w:pPr>
        <w:pStyle w:val="Heading1"/>
      </w:pPr>
      <w:r>
        <w:t>Antes del encuentro</w:t>
      </w:r>
    </w:p>
    <w:p>
      <w:r>
        <w:rPr>
          <w:rFonts w:ascii="Aptos" w:hAnsi="Aptos"/>
          <w:b w:val="0"/>
          <w:color w:val="000000"/>
          <w:sz w:val="22"/>
        </w:rPr>
        <w:t>Elige una persona para facilitar y otra para cuidar el tiempo. Organiza grupos de cuatro a seis participantes. Imprime un caso, un juego de tarjetas y un mapa de transformación por grupo. Evita pedir diagnósticos o información sensible de estudiantes reales.</w:t>
      </w:r>
    </w:p>
    <w:p>
      <w:r>
        <w:br w:type="page"/>
      </w:r>
    </w:p>
    <w:p>
      <w:pPr>
        <w:pStyle w:val="Heading1"/>
      </w:pPr>
      <w:r>
        <w:t>Tres rutas de tiempo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0B2348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Momento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0B2348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45 minutos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0B2348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60 minutos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0B2348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90 minutos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Apertura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5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8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10 min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Caso y primera lectura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8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10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15 min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Barreras y voces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12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15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20 min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Diseño de alternativas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12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17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25 min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Acuerdo y cierre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8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10 min</w:t>
            </w:r>
          </w:p>
        </w:tc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20 min</w:t>
            </w:r>
          </w:p>
        </w:tc>
      </w:tr>
    </w:tbl>
    <w:p>
      <w:pPr>
        <w:pStyle w:val="Heading2"/>
      </w:pPr>
      <w:r>
        <w:t>Cómo elegir la ruta</w:t>
      </w:r>
    </w:p>
    <w:p>
      <w:r>
        <w:rPr>
          <w:rFonts w:ascii="Aptos" w:hAnsi="Aptos"/>
          <w:b w:val="0"/>
          <w:color w:val="000000"/>
          <w:sz w:val="22"/>
        </w:rPr>
        <w:t>Usa 45 minutos para una conversación inicial. Elige 60 minutos cuando el equipo necesita contrastar perspectivas. Reserva 90 minutos para diseñar el cambio con mayor detalle y preparar su seguimiento.</w:t>
      </w:r>
    </w:p>
    <w:p>
      <w:pPr>
        <w:pStyle w:val="Heading1"/>
      </w:pPr>
      <w:r>
        <w:t>Apertura</w:t>
      </w:r>
    </w:p>
    <w:p>
      <w:r>
        <w:rPr>
          <w:rFonts w:ascii="Aptos" w:hAnsi="Aptos"/>
          <w:b w:val="0"/>
          <w:color w:val="000000"/>
          <w:sz w:val="22"/>
        </w:rPr>
        <w:t>Presenta el propósito y acuerda una regla: hablaremos de prácticas, condiciones y decisiones observables. No buscaremos culpables ni explicaremos la situación desde etiquetas personales.</w:t>
      </w:r>
    </w:p>
    <w:p>
      <w:r>
        <w:rPr>
          <w:rFonts w:ascii="Aptos" w:hAnsi="Aptos"/>
          <w:b w:val="0"/>
          <w:color w:val="000000"/>
          <w:sz w:val="22"/>
        </w:rPr>
        <w:t>Pregunta de inicio: ¿cuándo sentimos que una persona realmente puede participar en una experiencia escolar?</w:t>
      </w:r>
    </w:p>
    <w:p>
      <w:pPr>
        <w:pStyle w:val="Heading1"/>
      </w:pPr>
      <w:r>
        <w:t>Lectura del caso</w:t>
      </w:r>
    </w:p>
    <w:p>
      <w:r>
        <w:rPr>
          <w:rFonts w:ascii="Aptos" w:hAnsi="Aptos"/>
          <w:b w:val="0"/>
          <w:color w:val="000000"/>
          <w:sz w:val="22"/>
        </w:rPr>
        <w:t>Lee el caso en voz alta. Cada participante subraya una decisión que abre participación y otra que podría cerrarla. Luego comparan lo observado sin proponer soluciones todavía.</w:t>
      </w:r>
    </w:p>
    <w:p>
      <w:r>
        <w:br w:type="page"/>
      </w:r>
    </w:p>
    <w:p>
      <w:pPr>
        <w:pStyle w:val="Heading1"/>
      </w:pPr>
      <w:r>
        <w:t>Conversación con las cinco perspectivas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21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0B2348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Perspectiva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0B2348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Pregunta</w:t>
            </w:r>
          </w:p>
        </w:tc>
        <w:tc>
          <w:tcPr>
            <w:tcW w:type="dxa" w:w="24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0B2348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Producto</w:t>
            </w:r>
          </w:p>
        </w:tc>
      </w:tr>
      <w:tr>
        <w:tc>
          <w:tcPr>
            <w:tcW w:type="dxa" w:w="21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Nara conecta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¿Quiénes están implicados y qué voces faltan?</w:t>
            </w:r>
          </w:p>
        </w:tc>
        <w:tc>
          <w:tcPr>
            <w:tcW w:type="dxa" w:w="24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Mapa de voces</w:t>
            </w:r>
          </w:p>
        </w:tc>
      </w:tr>
      <w:tr>
        <w:tc>
          <w:tcPr>
            <w:tcW w:type="dxa" w:w="21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Kai anticipa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¿Dónde podría aparecer una barrera?</w:t>
            </w:r>
          </w:p>
        </w:tc>
        <w:tc>
          <w:tcPr>
            <w:tcW w:type="dxa" w:w="24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Barreras observables</w:t>
            </w:r>
          </w:p>
        </w:tc>
      </w:tr>
      <w:tr>
        <w:tc>
          <w:tcPr>
            <w:tcW w:type="dxa" w:w="21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Luma comprende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¿Qué propósito debe permanecer?</w:t>
            </w:r>
          </w:p>
        </w:tc>
        <w:tc>
          <w:tcPr>
            <w:tcW w:type="dxa" w:w="24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Propósito común</w:t>
            </w:r>
          </w:p>
        </w:tc>
      </w:tr>
      <w:tr>
        <w:tc>
          <w:tcPr>
            <w:tcW w:type="dxa" w:w="21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Tilo diseña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¿Qué alternativas podemos ofrecer?</w:t>
            </w:r>
          </w:p>
        </w:tc>
        <w:tc>
          <w:tcPr>
            <w:tcW w:type="dxa" w:w="24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7F8FB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Apoyos posibles</w:t>
            </w:r>
          </w:p>
        </w:tc>
      </w:tr>
      <w:tr>
        <w:tc>
          <w:tcPr>
            <w:tcW w:type="dxa" w:w="216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Eko resuena</w:t>
            </w:r>
          </w:p>
        </w:tc>
        <w:tc>
          <w:tcPr>
            <w:tcW w:type="dxa" w:w="47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¿Qué evidencia nos dirá si funcionó?</w:t>
            </w:r>
          </w:p>
        </w:tc>
        <w:tc>
          <w:tcPr>
            <w:tcW w:type="dxa" w:w="24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color w:val="1D2939"/>
                <w:sz w:val="19"/>
              </w:rPr>
              <w:t>Indicador de cambio</w:t>
            </w:r>
          </w:p>
        </w:tc>
      </w:tr>
    </w:tbl>
    <w:p>
      <w:pPr>
        <w:pStyle w:val="Heading1"/>
      </w:pPr>
      <w:r>
        <w:t>Diseño de alternativas</w:t>
      </w:r>
    </w:p>
    <w:p>
      <w:r>
        <w:rPr>
          <w:rFonts w:ascii="Aptos" w:hAnsi="Aptos"/>
          <w:b w:val="0"/>
          <w:color w:val="000000"/>
          <w:sz w:val="22"/>
        </w:rPr>
        <w:t>Cada grupo conserva el propósito del caso y propone al menos dos maneras de participar. Después elige la alternativa que pueda probarse con los recursos disponibles y explica por qué amplía la participación.</w:t>
      </w:r>
    </w:p>
    <w:p>
      <w:pPr>
        <w:pStyle w:val="Heading1"/>
      </w:pPr>
      <w:r>
        <w:t>Acuerdo final</w:t>
      </w:r>
    </w:p>
    <w:p>
      <w:r>
        <w:rPr>
          <w:rFonts w:ascii="Aptos" w:hAnsi="Aptos"/>
          <w:b w:val="0"/>
          <w:color w:val="000000"/>
          <w:sz w:val="22"/>
        </w:rPr>
        <w:t>Completa el Mapa de transformación. El acuerdo debe nombrar una acción, una persona responsable, una fecha de revisión y una evidencia que pueda observarse sin invadir la privacidad de nadie.</w:t>
      </w:r>
    </w:p>
    <w:p>
      <w:pPr>
        <w:pStyle w:val="Heading1"/>
      </w:pPr>
      <w:r>
        <w:t>Cuidado de la conversación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Habla de situaciones y decisiones concretas.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Evita convertir un diagnóstico en explicación total.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Incluye la voz de quienes viven la experiencia cuando sea posible y seguro.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2"/>
        </w:rPr>
        <w:t>Revisa el cambio después de probarlo. Un apoyo también puede necesitar ajustes.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7085"/>
        <w:sz w:val="16"/>
      </w:rPr>
      <w:t>Aula Diversa | Guía de facilitación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51560" cy="54756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aula-divers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1560" cy="54756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1D293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